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0001907102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Steven Madden Limited</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000-23702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52-16 Barnett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Long Island City</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7184461800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Peter Davis</w:t>
      </w:r>
    </w:p>
    <w:p>
      <w:pPr>
        <w:spacing w:after="0" w:line="44" w:lineRule="exact"/>
        <w:rPr>
          <w:sz w:val="24"/>
          <w:szCs w:val="24"/>
          <w:color w:val="auto"/>
        </w:rPr>
      </w:pPr>
    </w:p>
    <w:p>
      <w:pPr>
        <w:sectPr>
          <w:pgSz w:w="11900" w:h="16838" w:orient="portrait"/>
          <w:cols w:equalWidth="0" w:num="2">
            <w:col w:w="7480" w:space="720"/>
            <w:col w:w="30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2312</w:t>
            </w:r>
          </w:p>
        </w:tc>
        <w:tc>
          <w:tcPr>
            <w:tcW w:w="11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55488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72627750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08/04/2025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940" w:type="dxa"/>
            <w:vAlign w:val="bottom"/>
          </w:tcPr>
          <w:p>
            <w:pPr>
              <w:ind w:left="16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0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7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380" w:type="dxa"/>
            <w:vAlign w:val="bottom"/>
          </w:tcPr>
          <w:p>
            <w:pPr>
              <w:spacing w:after="0"/>
              <w:rPr>
                <w:sz w:val="22"/>
                <w:szCs w:val="22"/>
                <w:color w:val="auto"/>
              </w:rPr>
            </w:pPr>
          </w:p>
        </w:tc>
      </w:tr>
      <w:tr>
        <w:trPr>
          <w:trHeight w:val="286"/>
        </w:trPr>
        <w:tc>
          <w:tcPr>
            <w:tcW w:w="11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380" w:type="dxa"/>
            <w:vAlign w:val="bottom"/>
          </w:tcPr>
          <w:p>
            <w:pPr>
              <w:spacing w:after="0"/>
              <w:rPr>
                <w:sz w:val="24"/>
                <w:szCs w:val="24"/>
                <w:color w:val="auto"/>
              </w:rPr>
            </w:pPr>
          </w:p>
        </w:tc>
      </w:tr>
      <w:tr>
        <w:trPr>
          <w:trHeight w:val="244"/>
        </w:trPr>
        <w:tc>
          <w:tcPr>
            <w:tcW w:w="1120" w:type="dxa"/>
            <w:vAlign w:val="bottom"/>
          </w:tcPr>
          <w:p>
            <w:pPr>
              <w:spacing w:after="0"/>
              <w:rPr>
                <w:sz w:val="21"/>
                <w:szCs w:val="21"/>
                <w:color w:val="auto"/>
              </w:rPr>
            </w:pPr>
          </w:p>
        </w:tc>
        <w:tc>
          <w:tcPr>
            <w:tcW w:w="2940" w:type="dxa"/>
            <w:vAlign w:val="bottom"/>
          </w:tcPr>
          <w:p>
            <w:pPr>
              <w:ind w:left="1400"/>
              <w:spacing w:after="0" w:line="244" w:lineRule="exact"/>
              <w:rPr>
                <w:sz w:val="20"/>
                <w:szCs w:val="20"/>
                <w:color w:val="auto"/>
              </w:rPr>
            </w:pPr>
            <w:r>
              <w:rPr>
                <w:rFonts w:ascii="Times New Roman" w:cs="Times New Roman" w:eastAsia="Times New Roman" w:hAnsi="Times New Roman"/>
                <w:sz w:val="22"/>
                <w:szCs w:val="22"/>
                <w:color w:val="auto"/>
              </w:rPr>
              <w:t>stock</w:t>
            </w:r>
          </w:p>
        </w:tc>
        <w:tc>
          <w:tcPr>
            <w:tcW w:w="1600" w:type="dxa"/>
            <w:vAlign w:val="bottom"/>
          </w:tcPr>
          <w:p>
            <w:pPr>
              <w:ind w:left="180"/>
              <w:spacing w:after="0" w:line="244" w:lineRule="exact"/>
              <w:rPr>
                <w:sz w:val="20"/>
                <w:szCs w:val="20"/>
                <w:color w:val="auto"/>
              </w:rPr>
            </w:pPr>
            <w:r>
              <w:rPr>
                <w:rFonts w:ascii="Times New Roman" w:cs="Times New Roman" w:eastAsia="Times New Roman" w:hAnsi="Times New Roman"/>
                <w:sz w:val="22"/>
                <w:szCs w:val="22"/>
                <w:color w:val="auto"/>
              </w:rPr>
              <w:t>Steven Madden</w:t>
            </w:r>
          </w:p>
        </w:tc>
        <w:tc>
          <w:tcPr>
            <w:tcW w:w="2700" w:type="dxa"/>
            <w:vAlign w:val="bottom"/>
          </w:tcPr>
          <w:p>
            <w:pPr>
              <w:spacing w:after="0"/>
              <w:rPr>
                <w:sz w:val="21"/>
                <w:szCs w:val="21"/>
                <w:color w:val="auto"/>
              </w:rPr>
            </w:pPr>
          </w:p>
        </w:tc>
        <w:tc>
          <w:tcPr>
            <w:tcW w:w="2380" w:type="dxa"/>
            <w:vAlign w:val="bottom"/>
          </w:tcPr>
          <w:p>
            <w:pPr>
              <w:spacing w:after="0"/>
              <w:rPr>
                <w:sz w:val="21"/>
                <w:szCs w:val="21"/>
                <w:color w:val="auto"/>
              </w:rPr>
            </w:pP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40" w:type="dxa"/>
            <w:vAlign w:val="bottom"/>
          </w:tcPr>
          <w:p>
            <w:pPr>
              <w:ind w:left="360"/>
              <w:spacing w:after="0" w:line="323" w:lineRule="exact"/>
              <w:rPr>
                <w:sz w:val="20"/>
                <w:szCs w:val="20"/>
                <w:color w:val="auto"/>
              </w:rPr>
            </w:pPr>
            <w:r>
              <w:rPr>
                <w:rFonts w:ascii="Times New Roman" w:cs="Times New Roman" w:eastAsia="Times New Roman" w:hAnsi="Times New Roman"/>
                <w:sz w:val="37"/>
                <w:szCs w:val="37"/>
                <w:color w:val="auto"/>
                <w:vertAlign w:val="superscript"/>
              </w:rPr>
              <w:t>05/24/2022</w:t>
            </w:r>
            <w:r>
              <w:rPr>
                <w:rFonts w:ascii="Times New Roman" w:cs="Times New Roman" w:eastAsia="Times New Roman" w:hAnsi="Times New Roman"/>
                <w:sz w:val="19"/>
                <w:szCs w:val="19"/>
                <w:color w:val="auto"/>
              </w:rPr>
              <w:t xml:space="preserve"> compensation</w:t>
            </w:r>
          </w:p>
        </w:tc>
        <w:tc>
          <w:tcPr>
            <w:tcW w:w="16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Ltd</w:t>
            </w:r>
          </w:p>
        </w:tc>
        <w:tc>
          <w:tcPr>
            <w:tcW w:w="27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933</w:t>
            </w:r>
          </w:p>
        </w:tc>
        <w:tc>
          <w:tcPr>
            <w:tcW w:w="23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05/25/2022 not applicable</w:t>
            </w:r>
          </w:p>
        </w:tc>
      </w:tr>
      <w:tr>
        <w:trPr>
          <w:trHeight w:val="216"/>
        </w:trPr>
        <w:tc>
          <w:tcPr>
            <w:tcW w:w="1120" w:type="dxa"/>
            <w:vAlign w:val="bottom"/>
          </w:tcPr>
          <w:p>
            <w:pPr>
              <w:spacing w:after="0"/>
              <w:rPr>
                <w:sz w:val="18"/>
                <w:szCs w:val="18"/>
                <w:color w:val="auto"/>
              </w:rPr>
            </w:pPr>
          </w:p>
        </w:tc>
        <w:tc>
          <w:tcPr>
            <w:tcW w:w="2940" w:type="dxa"/>
            <w:vAlign w:val="bottom"/>
          </w:tcPr>
          <w:p>
            <w:pPr>
              <w:ind w:left="1400"/>
              <w:spacing w:after="0" w:line="217" w:lineRule="exact"/>
              <w:rPr>
                <w:sz w:val="20"/>
                <w:szCs w:val="20"/>
                <w:color w:val="auto"/>
              </w:rPr>
            </w:pPr>
            <w:r>
              <w:rPr>
                <w:rFonts w:ascii="Times New Roman" w:cs="Times New Roman" w:eastAsia="Times New Roman" w:hAnsi="Times New Roman"/>
                <w:sz w:val="22"/>
                <w:szCs w:val="22"/>
                <w:color w:val="auto"/>
              </w:rPr>
              <w:t>stock</w:t>
            </w:r>
          </w:p>
        </w:tc>
        <w:tc>
          <w:tcPr>
            <w:tcW w:w="1600" w:type="dxa"/>
            <w:vAlign w:val="bottom"/>
          </w:tcPr>
          <w:p>
            <w:pPr>
              <w:ind w:left="180"/>
              <w:spacing w:after="0" w:line="217" w:lineRule="exact"/>
              <w:rPr>
                <w:sz w:val="20"/>
                <w:szCs w:val="20"/>
                <w:color w:val="auto"/>
              </w:rPr>
            </w:pPr>
            <w:r>
              <w:rPr>
                <w:rFonts w:ascii="Times New Roman" w:cs="Times New Roman" w:eastAsia="Times New Roman" w:hAnsi="Times New Roman"/>
                <w:sz w:val="22"/>
                <w:szCs w:val="22"/>
                <w:color w:val="auto"/>
              </w:rPr>
              <w:t>Steven Madden</w:t>
            </w:r>
          </w:p>
        </w:tc>
        <w:tc>
          <w:tcPr>
            <w:tcW w:w="27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40" w:type="dxa"/>
            <w:vAlign w:val="bottom"/>
          </w:tcPr>
          <w:p>
            <w:pPr>
              <w:ind w:left="360"/>
              <w:spacing w:after="0" w:line="323" w:lineRule="exact"/>
              <w:rPr>
                <w:sz w:val="20"/>
                <w:szCs w:val="20"/>
                <w:color w:val="auto"/>
              </w:rPr>
            </w:pPr>
            <w:r>
              <w:rPr>
                <w:rFonts w:ascii="Times New Roman" w:cs="Times New Roman" w:eastAsia="Times New Roman" w:hAnsi="Times New Roman"/>
                <w:sz w:val="37"/>
                <w:szCs w:val="37"/>
                <w:color w:val="auto"/>
                <w:vertAlign w:val="superscript"/>
              </w:rPr>
              <w:t>05/24/2023</w:t>
            </w:r>
            <w:r>
              <w:rPr>
                <w:rFonts w:ascii="Times New Roman" w:cs="Times New Roman" w:eastAsia="Times New Roman" w:hAnsi="Times New Roman"/>
                <w:sz w:val="19"/>
                <w:szCs w:val="19"/>
                <w:color w:val="auto"/>
              </w:rPr>
              <w:t xml:space="preserve"> compensation</w:t>
            </w:r>
          </w:p>
        </w:tc>
        <w:tc>
          <w:tcPr>
            <w:tcW w:w="16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Ltd</w:t>
            </w:r>
          </w:p>
        </w:tc>
        <w:tc>
          <w:tcPr>
            <w:tcW w:w="27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785</w:t>
            </w:r>
          </w:p>
        </w:tc>
        <w:tc>
          <w:tcPr>
            <w:tcW w:w="23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05/24/2023 not applicable</w:t>
            </w:r>
          </w:p>
        </w:tc>
      </w:tr>
      <w:tr>
        <w:trPr>
          <w:trHeight w:val="216"/>
        </w:trPr>
        <w:tc>
          <w:tcPr>
            <w:tcW w:w="1120" w:type="dxa"/>
            <w:vAlign w:val="bottom"/>
          </w:tcPr>
          <w:p>
            <w:pPr>
              <w:spacing w:after="0"/>
              <w:rPr>
                <w:sz w:val="18"/>
                <w:szCs w:val="18"/>
                <w:color w:val="auto"/>
              </w:rPr>
            </w:pPr>
          </w:p>
        </w:tc>
        <w:tc>
          <w:tcPr>
            <w:tcW w:w="2940" w:type="dxa"/>
            <w:vAlign w:val="bottom"/>
          </w:tcPr>
          <w:p>
            <w:pPr>
              <w:ind w:left="1400"/>
              <w:spacing w:after="0" w:line="217" w:lineRule="exact"/>
              <w:rPr>
                <w:sz w:val="20"/>
                <w:szCs w:val="20"/>
                <w:color w:val="auto"/>
              </w:rPr>
            </w:pPr>
            <w:r>
              <w:rPr>
                <w:rFonts w:ascii="Times New Roman" w:cs="Times New Roman" w:eastAsia="Times New Roman" w:hAnsi="Times New Roman"/>
                <w:sz w:val="22"/>
                <w:szCs w:val="22"/>
                <w:color w:val="auto"/>
              </w:rPr>
              <w:t>stock</w:t>
            </w:r>
          </w:p>
        </w:tc>
        <w:tc>
          <w:tcPr>
            <w:tcW w:w="1600" w:type="dxa"/>
            <w:vAlign w:val="bottom"/>
          </w:tcPr>
          <w:p>
            <w:pPr>
              <w:ind w:left="180"/>
              <w:spacing w:after="0" w:line="217" w:lineRule="exact"/>
              <w:rPr>
                <w:sz w:val="20"/>
                <w:szCs w:val="20"/>
                <w:color w:val="auto"/>
              </w:rPr>
            </w:pPr>
            <w:r>
              <w:rPr>
                <w:rFonts w:ascii="Times New Roman" w:cs="Times New Roman" w:eastAsia="Times New Roman" w:hAnsi="Times New Roman"/>
                <w:sz w:val="22"/>
                <w:szCs w:val="22"/>
                <w:color w:val="auto"/>
              </w:rPr>
              <w:t>Steven Madden</w:t>
            </w:r>
          </w:p>
        </w:tc>
        <w:tc>
          <w:tcPr>
            <w:tcW w:w="27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571"/>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40" w:type="dxa"/>
            <w:vAlign w:val="bottom"/>
          </w:tcPr>
          <w:p>
            <w:pPr>
              <w:ind w:left="360"/>
              <w:spacing w:after="0"/>
              <w:rPr>
                <w:sz w:val="20"/>
                <w:szCs w:val="20"/>
                <w:color w:val="auto"/>
              </w:rPr>
            </w:pPr>
            <w:r>
              <w:rPr>
                <w:rFonts w:ascii="Times New Roman" w:cs="Times New Roman" w:eastAsia="Times New Roman" w:hAnsi="Times New Roman"/>
                <w:sz w:val="43"/>
                <w:szCs w:val="43"/>
                <w:color w:val="auto"/>
                <w:w w:val="99"/>
                <w:vertAlign w:val="superscript"/>
              </w:rPr>
              <w:t>05/22/2024</w:t>
            </w:r>
            <w:r>
              <w:rPr>
                <w:rFonts w:ascii="Times New Roman" w:cs="Times New Roman" w:eastAsia="Times New Roman" w:hAnsi="Times New Roman"/>
                <w:sz w:val="22"/>
                <w:szCs w:val="22"/>
                <w:color w:val="auto"/>
                <w:w w:val="99"/>
              </w:rPr>
              <w:t xml:space="preserve"> compensation</w:t>
            </w:r>
          </w:p>
        </w:tc>
        <w:tc>
          <w:tcPr>
            <w:tcW w:w="16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Ltd</w:t>
            </w:r>
          </w:p>
        </w:tc>
        <w:tc>
          <w:tcPr>
            <w:tcW w:w="27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594</w:t>
            </w:r>
          </w:p>
        </w:tc>
        <w:tc>
          <w:tcPr>
            <w:tcW w:w="23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05/22/2024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-1082040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-739140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220" w:type="dxa"/>
            <w:vAlign w:val="bottom"/>
          </w:tcPr>
          <w:p>
            <w:pPr>
              <w:spacing w:after="0"/>
              <w:rPr>
                <w:sz w:val="24"/>
                <w:szCs w:val="24"/>
                <w:color w:val="auto"/>
              </w:rPr>
            </w:pPr>
          </w:p>
        </w:tc>
      </w:tr>
      <w:tr>
        <w:trPr>
          <w:trHeight w:val="297"/>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08/04/2025</w:t>
            </w:r>
          </w:p>
        </w:tc>
      </w:tr>
      <w:tr>
        <w:trPr>
          <w:trHeight w:val="297"/>
        </w:trPr>
        <w:tc>
          <w:tcPr>
            <w:tcW w:w="15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/s/Mijo Suric, for UBS Financial Services Inc, as attorney-in-fact for Peter Davis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2025-08-04T16:31:47Z</dcterms:created>
  <dcterms:modified xsi:type="dcterms:W3CDTF">2025-08-04T16:31:47Z</dcterms:modified>
</cp:coreProperties>
</file>