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July 30,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STEVEN MADDEN,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000-23702</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13-3588231</w:t>
            </w:r>
          </w:p>
        </w:tc>
      </w:tr>
      <w:tr>
        <w:trPr>
          <w:trHeight w:val="198"/>
        </w:trPr>
        <w:tc>
          <w:tcPr>
            <w:tcW w:w="362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ind w:left="124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7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52-16 Barnett Avenue, Long Island City, New York</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11104</w:t>
            </w:r>
          </w:p>
        </w:tc>
      </w:tr>
      <w:tr>
        <w:trPr>
          <w:trHeight w:val="234"/>
        </w:trPr>
        <w:tc>
          <w:tcPr>
            <w:tcW w:w="74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Registrant’s telephone number, including area code: (718) 446-1800</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SHOO</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30, 2025, Steven Madden, Ltd. (the “Company”) issued a press release, furnished as Exhibit 99.1 and incorporated into this Item 2.02 by reference, announcing the Company’s financial results for the second quarter of its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press release on July 30, 2025 also announced that the Company’s Board of Directors has declared a quarterly cash dividend of $0.21 per share on the Company’s outstanding shares of common stock. The dividend is payable on September 23, 2025 to stockholders of record as of the close of business on September 12,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Exhibit 99.1, is being furnished, and shall not be deemed filed for purposes of Section 18 of the Securities Exchange Act of 1934, as amended, or otherwise subject to the liabilities of Section 18. Furthermore, the information contained in Item 2.02 of this Current Report on Form 8-K, including Exhibit 99.1, shall not be incorporated by reference into any registration statement filed by the Company under the Securities Act of 1933, as amended, unless specifically identified therein as being incorporated therein by reference. The furnishing of the information in Item 2.02 of this Current Report is not intended to, and does not, constitute a determination or admission by the Company that the information in Item 2.02 of this Current Report is material or complete, or that investors should consider this information before making an investment decision with respect to any security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9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July 30, 2025, announcing the Company’s Second Quarter 2025 Results and Declaration of a Cash Dividend.</w:t>
            </w: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3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780" w:type="dxa"/>
            <w:vAlign w:val="bottom"/>
          </w:tcPr>
          <w:p>
            <w:pPr>
              <w:spacing w:after="0"/>
              <w:rPr>
                <w:sz w:val="24"/>
                <w:szCs w:val="24"/>
                <w:color w:val="auto"/>
              </w:rPr>
            </w:pP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30,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STEVEN MADDEN, LTD.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Edward R.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Edward R. Rosenfeld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Steve Madden Announces Second Quarter 2025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 ISLAND CITY, N.Y., July 30, 2025 – Steven Madden, Ltd. (Nasdaq: SHOO), a leading designer and marketer of fashion-forward footwear, accessories and apparel, today announced financial results for the second quarter ended June 30, 2025.</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Amounts referred to as “Adjusted” are non-GAAP measures that exclude the items defined as “Non-GAAP Adjustments” in the “Non-GAAP Reconciliation” section.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Results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6.8% to $559.0 million, compared to $523.6 million in the same period of 2024.</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percentage of revenue was 40.4%, compared to 41.5% in the same period of 2024. Adjusted gross profit as a percentage of revenue was 41.9% in the second quarter of 2025.</w:t>
      </w:r>
    </w:p>
    <w:p>
      <w:pPr>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as a percentage of revenue were 47.2%, compared to 31.3% in the same period of 2024. Adjusted operating expenses as a percentage of revenue were 37.9%, compared to 31.1% in the same period of 2024.</w:t>
      </w:r>
    </w:p>
    <w:p>
      <w:pPr>
        <w:jc w:val="both"/>
        <w:ind w:left="34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totaled ($40.3) million, or (7.2%) of revenue, compared to income from operations of $46.9 million, or 9.0% of revenue, in the same period of 2024. Adjusted income from operations totaled $22.6 million, or 4.0% of revenue, compared to Adjusted income from operations of $54.5 million, or 10.4% of revenue, in the same period of 2024.</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Steven Madden, Ltd. was ($39.5) million, or ($0.56) per diluted share, compared to net income attributable to Steven Madden, Ltd. of $35.4 million, or $0.49 per diluted share, in the same period of 2024. Adjusted net income attributable to Steven Madden, Ltd. was $13.9 million, or $0.20 per diluted share, compared to Adjusted net income attributable to Steven Madden, Ltd. of $41.2 million, or $0.57 per diluted share, in the same period of 2024.</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Edward Rosenfeld, Chairman and Chief Executive Officer, commented, “As anticipated, the second quarter was challenging, driven largely by the impact of new tariffs on goods imported into the United States. Our team continues to act with agility to mitigate near-term impacts while remaining focused on positioning the company for long-term growth by executing our strategy to deepen consumer connections through the combination of compelling product and effective marketing. The integration of Kurt Geiger is proceeding smoothly, and we are more confident than ever in its potential to be a significant driver of growth for the company in the years ahead. While tariffs have created near-term pressure and added uncertainty, we believe our key strengths — powerful brands, a robust balance sheet and a proven business model — position us well to navigate the current environment and deliver sustainable growth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Channel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for the wholesale business was $360.6 million, a 6.4% decrease compared to the second quarter of 2024. Excluding the newly acquired Kurt Geiger, wholesale revenue declined 12.8%. Wholesale footwear revenue decreased 7.1%, or 11.7% excluding Kurt Geiger. Wholesale accessories/apparel revenue decreased 5.3%, or 14.6% excluding Kurt Geiger. Gross profit as a percentage of wholesale revenue was 30.0%, compared to 33.1% in the second quarter of 2024. Adjusted gross profit as a percentage of wholesale revenue was 30.9%, compared to 33.1% in the second quarter of 2024, as a result of the impact of new tariffs on goods imported into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7" w:lineRule="auto"/>
        <w:rPr>
          <w:sz w:val="20"/>
          <w:szCs w:val="20"/>
          <w:color w:val="auto"/>
        </w:rPr>
      </w:pPr>
      <w:r>
        <w:rPr>
          <w:rFonts w:ascii="Times New Roman" w:cs="Times New Roman" w:eastAsia="Times New Roman" w:hAnsi="Times New Roman"/>
          <w:sz w:val="18"/>
          <w:szCs w:val="18"/>
          <w:color w:val="auto"/>
        </w:rPr>
        <w:t>Direct-to-consumer revenue was $195.5 million, a 43.3% increase compared to the second quarter of 2024. Excluding Kurt Geiger, direct-to-consumer revenue decreased 3.0%, with declines in both brick-and-mortar and e-commerce channels. Gross profit as a percentage of direct-to-consumer revenue was 58.7%, compared to 64.3% in the second quarter of 2024. Adjusted Gross profit as a percentage of direct-to-consumer revenue was 61.3%, compared to</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64.3% in the second quarter of 2024, driven primarily by the addition of the Kurt Geiger concessions business and the impact of new tariffs on goods imported into the United States.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ended the quarter with 392 company-operated brick-and-mortar retail stores, including 98 outlets, as well as seven e-commerce websites and 130 company-operated concessions in international markets. This includes 73 company-operated brick-and-mortar retail stores, including 27 outlets, as well as two e-commerce websites and 72 concessions related to Kurt Geiger.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Cash Flow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total debt outstanding was $293.5 million, and cash, cash equivalents and short-term investments were $111.9 million, for net debt of $181.6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2025, the company did not repurchase any shares of its common stock in the open market.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 quarterly cash dividend of $0.21 per share. The dividend is payable on September 23, 2025 to stockholders of record as of the close of business on September 12,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continued macroeconomic uncertainty related to the impact of new tariffs on goods imported into the United States, the company is not providing 2025 financial guidance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Interested stockholders are invited to listen to the conference call scheduled for today, July 30, 2025, at 8:30 a.m. Eastern Time, which will include a discussion of the company’s second quarter 2025 earnings results. The call will be webcast live on the company’s website at </w:t>
      </w:r>
      <w:r>
        <w:rPr>
          <w:rFonts w:ascii="Times New Roman" w:cs="Times New Roman" w:eastAsia="Times New Roman" w:hAnsi="Times New Roman"/>
          <w:sz w:val="18"/>
          <w:szCs w:val="18"/>
          <w:u w:val="single" w:color="auto"/>
          <w:color w:val="auto"/>
        </w:rPr>
        <w:t>https://investor.stevemadden.com</w:t>
      </w:r>
      <w:r>
        <w:rPr>
          <w:rFonts w:ascii="Times New Roman" w:cs="Times New Roman" w:eastAsia="Times New Roman" w:hAnsi="Times New Roman"/>
          <w:sz w:val="18"/>
          <w:szCs w:val="18"/>
          <w:color w:val="auto"/>
        </w:rPr>
        <w:t xml:space="preserve">. A webcast replay of the conference call will be available on the company’s website or via the following webcast link </w:t>
      </w:r>
      <w:r>
        <w:rPr>
          <w:rFonts w:ascii="Times New Roman" w:cs="Times New Roman" w:eastAsia="Times New Roman" w:hAnsi="Times New Roman"/>
          <w:sz w:val="18"/>
          <w:szCs w:val="18"/>
          <w:u w:val="single" w:color="auto"/>
          <w:color w:val="auto"/>
        </w:rPr>
        <w:t>https://edge.media-server.com/mmc/p/7ngfthjs</w:t>
      </w:r>
      <w:r>
        <w:rPr>
          <w:rFonts w:ascii="Times New Roman" w:cs="Times New Roman" w:eastAsia="Times New Roman" w:hAnsi="Times New Roman"/>
          <w:sz w:val="18"/>
          <w:szCs w:val="18"/>
          <w:color w:val="auto"/>
        </w:rPr>
        <w:t xml:space="preserve"> beginning today at approximately 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Steve Madden</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Steve Madden designs, sources and markets fashion-forward footwear, accessories and apparel. In addition to marketing products under its own brands including Steve Madden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Kurt Geiger London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Dolce Vita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Betsey Johnson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Carvela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Blondo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ATM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Steve Madden licenses footwear,</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handbags and other accessory categories for the Anne Klein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brand. Steve Madden also designs and sources products under private label brand names for various retailers. Steve Madden’s wholesale distribution includes department stores, mass merchants, off-price retailers, shoe chains, online retailers, national chains, specialty retailers and independent stores. Steve Madden also directly operates brick-and-mortar retail stores and e-commerce websites. In addition, Steve Madden licenses certain of its brands to third parties for the marketing and sale of certain products in the apparel, accessory and home categories.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U.S. Private Securities Litigation Reform Act of 1995</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Examples of forward-looking statements include, among others, statements regarding revenue and earnings guidance, plans, strategies, objectives, expectations and intentions. Forward-looking statements can be identified by words such as: “may”, “will”, “expect”, “believe”, “should”, “anticipate”, “project”, “predict”, “plan”, “intend”, “estimate”, or “confident” and similar expressions or the negative of these expressions. Forward-looking statements are neither historical facts nor assurances of future performance. Instead, they represent the company’s current beliefs, expectations, and assumptions regarding anticipated events and trends affecting its business and industry based on information available as of the time such statements are made. Investors are cautioned that such forward-looking statements are inherently subject to risks and uncertainties, many of which cannot be predicted with accuracy and some of which may be outside of the company’s control. The company’s actual results and financial condition may differ materially from those indicated in these forward-looking statements. The company does not undertake, and disclaims, any obligation to publicly update any forward-looking statement, including, without limitation, any guidance regarding revenue or earnings,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200" w:type="dxa"/>
            <w:vAlign w:val="bottom"/>
            <w:gridSpan w:val="9"/>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STEVEN MADDEN, LTD. AND SUBSIDIARIES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940" w:type="dxa"/>
            <w:vAlign w:val="bottom"/>
          </w:tcPr>
          <w:p>
            <w:pPr>
              <w:spacing w:after="0"/>
              <w:rPr>
                <w:sz w:val="24"/>
                <w:szCs w:val="24"/>
                <w:color w:val="auto"/>
              </w:rPr>
            </w:pPr>
          </w:p>
        </w:tc>
        <w:tc>
          <w:tcPr>
            <w:tcW w:w="6720" w:type="dxa"/>
            <w:vAlign w:val="bottom"/>
            <w:gridSpan w:val="13"/>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29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8"/>
          </w:tcPr>
          <w:p>
            <w:pPr>
              <w:jc w:val="center"/>
              <w:ind w:right="94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2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09"/>
        </w:trPr>
        <w:tc>
          <w:tcPr>
            <w:tcW w:w="2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556,090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521,709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1,107,472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1,072,276</w:t>
            </w:r>
          </w:p>
        </w:tc>
      </w:tr>
      <w:tr>
        <w:trPr>
          <w:trHeight w:val="22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fee income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1,844</w:t>
            </w: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3,658</w:t>
            </w:r>
          </w:p>
        </w:tc>
      </w:tr>
      <w:tr>
        <w:trPr>
          <w:trHeight w:val="209"/>
        </w:trPr>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523,553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1,112,534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1,075,934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332,973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306,424</w:t>
            </w:r>
          </w:p>
        </w:tc>
        <w:tc>
          <w:tcPr>
            <w:tcW w:w="12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660,240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633,990</w:t>
            </w:r>
          </w:p>
        </w:tc>
      </w:tr>
      <w:tr>
        <w:trPr>
          <w:trHeight w:val="209"/>
        </w:trPr>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226,027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217,129</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263,865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163,709</w:t>
            </w:r>
          </w:p>
        </w:tc>
        <w:tc>
          <w:tcPr>
            <w:tcW w:w="1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441,128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328,428</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of contingent payment liability</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6,550</w:t>
            </w: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8,200</w:t>
            </w:r>
          </w:p>
        </w:tc>
      </w:tr>
      <w:tr>
        <w:trPr>
          <w:trHeight w:val="230"/>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intangibles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09"/>
        </w:trPr>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 income from operations</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derivative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 income, net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(3,795)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r>
      <w:tr>
        <w:trPr>
          <w:trHeight w:val="20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 income before provision for income taxes</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48,224</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106,525</w:t>
            </w:r>
          </w:p>
        </w:tc>
        <w:tc>
          <w:tcPr>
            <w:tcW w:w="100" w:type="dxa"/>
            <w:vAlign w:val="bottom"/>
          </w:tcPr>
          <w:p>
            <w:pPr>
              <w:spacing w:after="0"/>
              <w:rPr>
                <w:sz w:val="18"/>
                <w:szCs w:val="18"/>
                <w:color w:val="auto"/>
              </w:rPr>
            </w:pPr>
          </w:p>
        </w:tc>
      </w:tr>
      <w:tr>
        <w:trPr>
          <w:trHeight w:val="23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11,276</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16,979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25,015</w:t>
            </w:r>
          </w:p>
        </w:tc>
      </w:tr>
      <w:tr>
        <w:trPr>
          <w:trHeight w:val="209"/>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 income</w:t>
            </w: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36,948</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100" w:type="dxa"/>
            <w:vAlign w:val="bottom"/>
          </w:tcPr>
          <w:p>
            <w:pPr>
              <w:spacing w:after="0"/>
              <w:rPr>
                <w:sz w:val="18"/>
                <w:szCs w:val="18"/>
                <w:color w:val="auto"/>
              </w:rPr>
            </w:pPr>
          </w:p>
        </w:tc>
      </w:tr>
      <w:tr>
        <w:trPr>
          <w:trHeight w:val="22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r>
      <w:tr>
        <w:trPr>
          <w:trHeight w:val="263"/>
        </w:trPr>
        <w:tc>
          <w:tcPr>
            <w:tcW w:w="4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 income attributable to Steven Madden, Ltd.</w:t>
            </w:r>
          </w:p>
        </w:tc>
        <w:tc>
          <w:tcPr>
            <w:tcW w:w="6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3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79,310</w:t>
            </w:r>
          </w:p>
        </w:tc>
        <w:tc>
          <w:tcPr>
            <w:tcW w:w="100" w:type="dxa"/>
            <w:vAlign w:val="bottom"/>
            <w:tcBorders>
              <w:bottom w:val="single" w:sz="8" w:color="CCEEFF"/>
            </w:tcBorders>
          </w:tcPr>
          <w:p>
            <w:pPr>
              <w:spacing w:after="0"/>
              <w:rPr>
                <w:sz w:val="22"/>
                <w:szCs w:val="22"/>
                <w:color w:val="auto"/>
              </w:rPr>
            </w:pPr>
          </w:p>
        </w:tc>
      </w:tr>
      <w:tr>
        <w:trPr>
          <w:trHeight w:val="196"/>
        </w:trPr>
        <w:tc>
          <w:tcPr>
            <w:tcW w:w="29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(loss) / income per share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(loss) / income per share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71,458</w:t>
            </w:r>
          </w:p>
        </w:tc>
        <w:tc>
          <w:tcPr>
            <w:tcW w:w="1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70,822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71,875</w:t>
            </w:r>
          </w:p>
        </w:tc>
      </w:tr>
      <w:tr>
        <w:trPr>
          <w:trHeight w:val="216"/>
        </w:trPr>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72,004</w:t>
            </w:r>
          </w:p>
        </w:tc>
        <w:tc>
          <w:tcPr>
            <w:tcW w:w="1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70,970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72,430</w:t>
            </w:r>
          </w:p>
        </w:tc>
      </w:tr>
      <w:tr>
        <w:trPr>
          <w:trHeight w:val="216"/>
        </w:trPr>
        <w:tc>
          <w:tcPr>
            <w:tcW w:w="2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r>
      <w:tr>
        <w:trPr>
          <w:trHeight w:val="414"/>
        </w:trPr>
        <w:tc>
          <w:tcPr>
            <w:tcW w:w="2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MADDEN, LTD. AND SUBSIDIARIES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80" w:type="dxa"/>
            <w:vAlign w:val="bottom"/>
            <w:gridSpan w:val="9"/>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As of</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Pr>
          <w:p>
            <w:pPr>
              <w:spacing w:after="0"/>
              <w:rPr>
                <w:sz w:val="20"/>
                <w:szCs w:val="20"/>
                <w:color w:val="auto"/>
              </w:rPr>
            </w:pPr>
          </w:p>
        </w:tc>
        <w:tc>
          <w:tcPr>
            <w:tcW w:w="188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June 30, 2024</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(Unaudited)</w:t>
            </w: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2920" w:type="dxa"/>
            <w:vAlign w:val="bottom"/>
            <w:tcBorders>
              <w:bottom w:val="single" w:sz="8" w:color="CCEEFF"/>
            </w:tcBorders>
            <w:gridSpan w:val="4"/>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111,714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189,924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180,457</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13,484</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11,761</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86,211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45,653</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36,624</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Factor accounts receivable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289,942</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348,659</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341,967</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436,968</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257,625</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241,643</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54,002</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34,463</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28,448</w:t>
            </w:r>
          </w:p>
        </w:tc>
        <w:tc>
          <w:tcPr>
            <w:tcW w:w="0" w:type="dxa"/>
            <w:vAlign w:val="bottom"/>
          </w:tcPr>
          <w:p>
            <w:pPr>
              <w:spacing w:after="0"/>
              <w:rPr>
                <w:sz w:val="1"/>
                <w:szCs w:val="1"/>
                <w:color w:val="auto"/>
              </w:rPr>
            </w:pPr>
          </w:p>
        </w:tc>
      </w:tr>
      <w:tr>
        <w:trPr>
          <w:trHeight w:val="230"/>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 and prepaid income taxes</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18,799</w:t>
            </w:r>
          </w:p>
        </w:tc>
        <w:tc>
          <w:tcPr>
            <w:tcW w:w="1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4,887</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19,208</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997,776</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894,695</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220,089</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139,695</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143,480</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21,641</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22,214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15,553</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610</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266,602</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183,737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183,374</w:t>
            </w:r>
          </w:p>
        </w:tc>
        <w:tc>
          <w:tcPr>
            <w:tcW w:w="0" w:type="dxa"/>
            <w:vAlign w:val="bottom"/>
          </w:tcPr>
          <w:p>
            <w:pPr>
              <w:spacing w:after="0"/>
              <w:rPr>
                <w:sz w:val="1"/>
                <w:szCs w:val="1"/>
                <w:color w:val="auto"/>
              </w:rPr>
            </w:pPr>
          </w:p>
        </w:tc>
      </w:tr>
      <w:tr>
        <w:trPr>
          <w:trHeight w:val="230"/>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282,372</w:t>
            </w:r>
          </w:p>
        </w:tc>
        <w:tc>
          <w:tcPr>
            <w:tcW w:w="120" w:type="dxa"/>
            <w:vAlign w:val="bottom"/>
          </w:tcPr>
          <w:p>
            <w:pPr>
              <w:spacing w:after="0"/>
              <w:rPr>
                <w:sz w:val="19"/>
                <w:szCs w:val="19"/>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113,432</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122,884</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1,895,078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0" w:type="dxa"/>
            <w:vAlign w:val="bottom"/>
            <w:gridSpan w:val="5"/>
            <w:vMerge w:val="continue"/>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235,716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206,889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189,772</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184,249</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142,452</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143,127</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leases - current portion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56,179</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43,172</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44,961</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6,147</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7,204</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payment liability - current portion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11,957</w:t>
            </w:r>
          </w:p>
        </w:tc>
        <w:tc>
          <w:tcPr>
            <w:tcW w:w="0" w:type="dxa"/>
            <w:vAlign w:val="bottom"/>
          </w:tcPr>
          <w:p>
            <w:pPr>
              <w:spacing w:after="0"/>
              <w:rPr>
                <w:sz w:val="1"/>
                <w:szCs w:val="1"/>
                <w:color w:val="auto"/>
              </w:rPr>
            </w:pPr>
          </w:p>
        </w:tc>
      </w:tr>
      <w:tr>
        <w:trPr>
          <w:trHeight w:val="230"/>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tcPr>
          <w:p>
            <w:pPr>
              <w:spacing w:after="0"/>
              <w:rPr>
                <w:sz w:val="19"/>
                <w:szCs w:val="19"/>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15,061</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8,909</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413,721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Contingent payment liability - long-term portion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 long-term portion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189,404</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109,816</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112,988</w:t>
            </w:r>
          </w:p>
        </w:tc>
        <w:tc>
          <w:tcPr>
            <w:tcW w:w="0" w:type="dxa"/>
            <w:vAlign w:val="bottom"/>
          </w:tcPr>
          <w:p>
            <w:pPr>
              <w:spacing w:after="0"/>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287,865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38,574</w:t>
            </w:r>
          </w:p>
        </w:tc>
        <w:tc>
          <w:tcPr>
            <w:tcW w:w="12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4,628</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9,078</w:t>
            </w:r>
          </w:p>
        </w:tc>
        <w:tc>
          <w:tcPr>
            <w:tcW w:w="0" w:type="dxa"/>
            <w:vAlign w:val="bottom"/>
          </w:tcPr>
          <w:p>
            <w:pPr>
              <w:spacing w:after="0"/>
              <w:rPr>
                <w:sz w:val="1"/>
                <w:szCs w:val="1"/>
                <w:color w:val="auto"/>
              </w:rPr>
            </w:pPr>
          </w:p>
        </w:tc>
      </w:tr>
      <w:tr>
        <w:trPr>
          <w:trHeight w:val="229"/>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13,790</w:t>
            </w:r>
          </w:p>
        </w:tc>
        <w:tc>
          <w:tcPr>
            <w:tcW w:w="120" w:type="dxa"/>
            <w:vAlign w:val="bottom"/>
          </w:tcPr>
          <w:p>
            <w:pPr>
              <w:spacing w:after="0"/>
              <w:rPr>
                <w:sz w:val="19"/>
                <w:szCs w:val="19"/>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5,169</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1,031,715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535,774</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Steven Madden, Ltd. stockholders’ equity</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833,230</w:t>
            </w:r>
          </w:p>
        </w:tc>
        <w:tc>
          <w:tcPr>
            <w:tcW w:w="120" w:type="dxa"/>
            <w:vAlign w:val="bottom"/>
          </w:tcPr>
          <w:p>
            <w:pPr>
              <w:spacing w:after="0"/>
              <w:rPr>
                <w:sz w:val="18"/>
                <w:szCs w:val="18"/>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847,719</w:t>
            </w:r>
          </w:p>
        </w:tc>
        <w:tc>
          <w:tcPr>
            <w:tcW w:w="2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808,279</w:t>
            </w:r>
          </w:p>
        </w:tc>
        <w:tc>
          <w:tcPr>
            <w:tcW w:w="0" w:type="dxa"/>
            <w:vAlign w:val="bottom"/>
          </w:tcPr>
          <w:p>
            <w:pPr>
              <w:spacing w:after="0"/>
              <w:rPr>
                <w:sz w:val="1"/>
                <w:szCs w:val="1"/>
                <w:color w:val="auto"/>
              </w:rPr>
            </w:pPr>
          </w:p>
        </w:tc>
      </w:tr>
      <w:tr>
        <w:trPr>
          <w:trHeight w:val="229"/>
        </w:trPr>
        <w:tc>
          <w:tcPr>
            <w:tcW w:w="36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30,133</w:t>
            </w:r>
          </w:p>
        </w:tc>
        <w:tc>
          <w:tcPr>
            <w:tcW w:w="12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28,278</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24,077</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863,363</w:t>
            </w:r>
          </w:p>
        </w:tc>
        <w:tc>
          <w:tcPr>
            <w:tcW w:w="3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875,997</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1,895,078</w:t>
            </w: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1,411,771</w:t>
            </w:r>
          </w:p>
        </w:tc>
        <w:tc>
          <w:tcPr>
            <w:tcW w:w="3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6180" w:type="dxa"/>
            <w:vAlign w:val="bottom"/>
            <w:gridSpan w:val="6"/>
          </w:tcPr>
          <w:p>
            <w:pPr>
              <w:jc w:val="center"/>
              <w:ind w:right="681"/>
              <w:spacing w:after="0"/>
              <w:rPr>
                <w:sz w:val="20"/>
                <w:szCs w:val="20"/>
                <w:color w:val="auto"/>
              </w:rPr>
            </w:pPr>
            <w:r>
              <w:rPr>
                <w:rFonts w:ascii="Times New Roman" w:cs="Times New Roman" w:eastAsia="Times New Roman" w:hAnsi="Times New Roman"/>
                <w:sz w:val="18"/>
                <w:szCs w:val="18"/>
                <w:b w:val="1"/>
                <w:bCs w:val="1"/>
                <w:color w:val="auto"/>
                <w:w w:val="99"/>
              </w:rPr>
              <w:t>STEVEN MADDEN, LTD. AND SUBSIDIARIES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2920" w:type="dxa"/>
            <w:vAlign w:val="bottom"/>
          </w:tcPr>
          <w:p>
            <w:pPr>
              <w:spacing w:after="0"/>
              <w:rPr>
                <w:sz w:val="24"/>
                <w:szCs w:val="24"/>
                <w:color w:val="auto"/>
              </w:rPr>
            </w:pPr>
          </w:p>
        </w:tc>
        <w:tc>
          <w:tcPr>
            <w:tcW w:w="6180" w:type="dxa"/>
            <w:vAlign w:val="bottom"/>
            <w:gridSpan w:val="6"/>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2920" w:type="dxa"/>
            <w:vAlign w:val="bottom"/>
          </w:tcPr>
          <w:p>
            <w:pPr>
              <w:spacing w:after="0"/>
              <w:rPr>
                <w:sz w:val="24"/>
                <w:szCs w:val="24"/>
                <w:color w:val="auto"/>
              </w:rPr>
            </w:pPr>
          </w:p>
        </w:tc>
        <w:tc>
          <w:tcPr>
            <w:tcW w:w="3640" w:type="dxa"/>
            <w:vAlign w:val="bottom"/>
            <w:tcBorders>
              <w:top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364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(Unaudited)</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9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gridSpan w:val="6"/>
          </w:tcPr>
          <w:p>
            <w:pPr>
              <w:jc w:val="right"/>
              <w:ind w:right="1441"/>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29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jc w:val="right"/>
              <w:ind w:right="581"/>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10"/>
        </w:trPr>
        <w:tc>
          <w:tcPr>
            <w:tcW w:w="6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2,548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81,510</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14,690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12,579</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9,569</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intangibles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valuation of contingent payment liability</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8,200</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net of acquisitions, in: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2,787</w:t>
            </w: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Factor accounts receivable</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59,110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(22,988)</w:t>
            </w: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35,004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income tax receivables, prepaid taxes, and other assets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(7,119)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16"/>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18,122</w:t>
            </w:r>
          </w:p>
        </w:tc>
      </w:tr>
      <w:tr>
        <w:trPr>
          <w:trHeight w:val="216"/>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incentive compensation</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(11,721)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29"/>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Leases and other liabilities</w:t>
            </w: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756</w:t>
            </w:r>
          </w:p>
        </w:tc>
      </w:tr>
      <w:tr>
        <w:trPr>
          <w:trHeight w:val="210"/>
        </w:trPr>
        <w:tc>
          <w:tcPr>
            <w:tcW w:w="656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62,530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93,801</w:t>
            </w:r>
          </w:p>
        </w:tc>
        <w:tc>
          <w:tcPr>
            <w:tcW w:w="100" w:type="dxa"/>
            <w:vAlign w:val="bottom"/>
            <w:tcBorders>
              <w:bottom w:val="single" w:sz="8" w:color="CCEEFF"/>
            </w:tcBorders>
          </w:tcPr>
          <w:p>
            <w:pPr>
              <w:spacing w:after="0"/>
              <w:rPr>
                <w:sz w:val="18"/>
                <w:szCs w:val="18"/>
                <w:color w:val="auto"/>
              </w:rPr>
            </w:pPr>
          </w:p>
        </w:tc>
      </w:tr>
      <w:tr>
        <w:trPr>
          <w:trHeight w:val="209"/>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(17,516)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(9,272)</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Maturity / sale of short-term investments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13,410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13,485</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(386,449)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230"/>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371</w:t>
            </w:r>
          </w:p>
        </w:tc>
      </w:tr>
      <w:tr>
        <w:trPr>
          <w:trHeight w:val="209"/>
        </w:trPr>
        <w:tc>
          <w:tcPr>
            <w:tcW w:w="656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(392,751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repurchased and net settlements of stock awards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(75,549)</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749</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net of repayments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costs paid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(8,955)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(30,435)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w:t>
            </w:r>
          </w:p>
        </w:tc>
      </w:tr>
      <w:tr>
        <w:trPr>
          <w:trHeight w:val="230"/>
        </w:trPr>
        <w:tc>
          <w:tcPr>
            <w:tcW w:w="6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of noncontrolling interest</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6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(78,210)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189,924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204,640</w:t>
            </w:r>
          </w:p>
        </w:tc>
      </w:tr>
      <w:tr>
        <w:trPr>
          <w:trHeight w:val="243"/>
        </w:trPr>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111,714</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180,457</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29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STEVEN MADDEN, LTD.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non-GAAP financial information to evaluate its operating performance and in order to represent the manner in which the company conducts and views its business. Additionally, the company believes the information assists investors in comparing the company’s performance across reporting periods on a consistent basis by excluding items that are not indicative of its core business. The non-GAAP financial information is provided in addition to, and not as an alternative to, the company’s reported results prepared in accordance with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Table 1 - Reconciliation of GAAP gross profit to Adjusted gross profit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98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gross profit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226,027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217,129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452,294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441,944</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8,251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4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8,530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442,277</w:t>
            </w:r>
          </w:p>
        </w:tc>
        <w:tc>
          <w:tcPr>
            <w:tcW w:w="100" w:type="dxa"/>
            <w:vAlign w:val="bottom"/>
            <w:tcBorders>
              <w:top w:val="single" w:sz="8" w:color="CCEEFF"/>
            </w:tcBorders>
            <w:shd w:val="clear" w:color="auto" w:fill="CCEEFF"/>
          </w:tcPr>
          <w:p>
            <w:pPr>
              <w:spacing w:after="0"/>
              <w:rPr>
                <w:sz w:val="18"/>
                <w:szCs w:val="18"/>
                <w:color w:val="auto"/>
              </w:rPr>
            </w:pPr>
          </w:p>
        </w:tc>
      </w:tr>
      <w:tr>
        <w:trPr>
          <w:trHeight w:val="385"/>
        </w:trPr>
        <w:tc>
          <w:tcPr>
            <w:tcW w:w="6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Table 2 - Reconciliation of GAAP operating expenses to Adjusted operating expenses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298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263,865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163,709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441,128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328,428</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4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(59,012)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211,649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385"/>
        </w:trPr>
        <w:tc>
          <w:tcPr>
            <w:tcW w:w="74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9"/>
              </w:rPr>
              <w:t>Table 3 - Reconciliation of GAAP (loss) / income from operations to Adjusted income from operations</w:t>
            </w:r>
          </w:p>
        </w:tc>
        <w:tc>
          <w:tcPr>
            <w:tcW w:w="7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298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(loss) / income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46,870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13,241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103,616</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62,887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7,633</w:t>
            </w:r>
          </w:p>
        </w:tc>
        <w:tc>
          <w:tcPr>
            <w:tcW w:w="120" w:type="dxa"/>
            <w:vAlign w:val="bottom"/>
          </w:tcPr>
          <w:p>
            <w:pPr>
              <w:spacing w:after="0"/>
              <w:rPr>
                <w:sz w:val="19"/>
                <w:szCs w:val="19"/>
                <w:color w:val="auto"/>
              </w:rPr>
            </w:pPr>
          </w:p>
        </w:tc>
        <w:tc>
          <w:tcPr>
            <w:tcW w:w="14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65,467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11,855</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from operations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54,503</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115,471</w:t>
            </w:r>
          </w:p>
        </w:tc>
        <w:tc>
          <w:tcPr>
            <w:tcW w:w="100" w:type="dxa"/>
            <w:vAlign w:val="bottom"/>
            <w:tcBorders>
              <w:top w:val="single" w:sz="8" w:color="CCEEFF"/>
            </w:tcBorders>
            <w:shd w:val="clear" w:color="auto" w:fill="CCEEFF"/>
          </w:tcPr>
          <w:p>
            <w:pPr>
              <w:spacing w:after="0"/>
              <w:rPr>
                <w:sz w:val="18"/>
                <w:szCs w:val="18"/>
                <w:color w:val="auto"/>
              </w:rPr>
            </w:pPr>
          </w:p>
        </w:tc>
      </w:tr>
      <w:tr>
        <w:trPr>
          <w:trHeight w:val="385"/>
        </w:trPr>
        <w:tc>
          <w:tcPr>
            <w:tcW w:w="96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Table 4 - Reconciliation of GAAP interest and other (expense) / income, net to Adjusted interest and other (expense) / income, net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20" w:type="dxa"/>
            <w:vAlign w:val="bottom"/>
            <w:gridSpan w:val="5"/>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r>
      <w:tr>
        <w:trPr>
          <w:trHeight w:val="49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8"/>
          </w:tcPr>
          <w:p>
            <w:pPr>
              <w:jc w:val="right"/>
              <w:ind w:right="110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4"/>
                <w:szCs w:val="24"/>
                <w:color w:val="auto"/>
              </w:rPr>
            </w:pPr>
          </w:p>
        </w:tc>
        <w:tc>
          <w:tcPr>
            <w:tcW w:w="298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interest and other (expense) /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interest and other (expense) / income,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Borders>
              <w:top w:val="single" w:sz="8" w:color="CCEEFF"/>
            </w:tcBorders>
            <w:shd w:val="clear" w:color="auto" w:fill="CCEEFF"/>
          </w:tcPr>
          <w:p>
            <w:pPr>
              <w:spacing w:after="0"/>
              <w:rPr>
                <w:sz w:val="18"/>
                <w:szCs w:val="18"/>
                <w:color w:val="auto"/>
              </w:rPr>
            </w:pPr>
          </w:p>
        </w:tc>
      </w:tr>
      <w:tr>
        <w:trPr>
          <w:trHeight w:val="412"/>
        </w:trPr>
        <w:tc>
          <w:tcPr>
            <w:tcW w:w="81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Table 5 - Reconciliation of GAAP provision for income taxes to Adjusted provision for income taxes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4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w:t>
            </w:r>
          </w:p>
        </w:tc>
        <w:tc>
          <w:tcPr>
            <w:tcW w:w="8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June 30, 2025</w:t>
            </w: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3,911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16,979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25,015</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19"/>
                <w:szCs w:val="19"/>
                <w:color w:val="auto"/>
              </w:rPr>
            </w:pPr>
          </w:p>
        </w:tc>
        <w:tc>
          <w:tcPr>
            <w:tcW w:w="14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1,729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2,793</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Table 6 - Reconciliation of GAAP net income attributable to noncontrolling interest to Adjusted net income attributable to noncontrolling interest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98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attributable to noncontrolling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noncontrolling interest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Table 7 - Reconciliation of GAAP net (loss) / income attributable to Steven Madden, Ltd. to Adjusted net income attributable to Steven Madden, Ltd.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20" w:type="dxa"/>
            <w:vAlign w:val="bottom"/>
          </w:tcPr>
          <w:p>
            <w:pPr>
              <w:spacing w:after="0"/>
              <w:rPr>
                <w:sz w:val="20"/>
                <w:szCs w:val="20"/>
                <w:color w:val="auto"/>
              </w:rPr>
            </w:pPr>
          </w:p>
        </w:tc>
        <w:tc>
          <w:tcPr>
            <w:tcW w:w="298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3"/>
        </w:trPr>
        <w:tc>
          <w:tcPr>
            <w:tcW w:w="4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June 30, 2025</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June 30, 2024</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 / income attributable to Steven Madden, Ltd.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79,310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55,326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8,931</w:t>
            </w: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Steven Madden, Ltd.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41,211</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net (loss) / income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weighted shares outstanding</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72,004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72,340</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70,911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72,004</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70,970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72,430</w:t>
            </w:r>
          </w:p>
        </w:tc>
      </w:tr>
      <w:tr>
        <w:trPr>
          <w:trHeight w:val="425"/>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 include the items below.</w:t>
            </w: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 the second quarter of 2025:</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million pre-tax ($6.2 million after-tax) expense in connection with the purchase accounting fair value adjustment of inventory from acquired businesses, included in cost of goods sold.</w:t>
      </w: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$38.8 million pre-tax ($38.8 million after-tax) expense in connection with acquisition-related compensation paid to management sellers and certain employees of Kurt Geiger, as determined by the institutional shareholders as part of the sellers’ negotiated transaction waterfall, included in operating expenses.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million pre-tax ($8.9 million after-tax) expense in connection with an acquisition and formation of joint ventures, included in operating expenses.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pre-tax ($3.6 million after-tax) expense in connection with legal settlements and related fees, included in operating expenses.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pre-tax ($0.4 million after-tax) expense in connection with severances and related charges, included in operating expenses.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pre-tax ($1.8 million after-tax) net expense in connection with the change in valuation of contingent payment liabilities related to the acquisitions of Almost Famous and ATM.</w:t>
      </w:r>
    </w:p>
    <w:p>
      <w:pPr>
        <w:ind w:left="340" w:right="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million pre-tax ($7.1 million after-tax) benefit in connection with the settlement of a foreign exchange hedging contract entered into as part of the company’s acquisition of Kurt Geiger.</w:t>
      </w: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pre-tax ($0.6 million after-tax) expense in connection with the write-off of unamortized debt issuance costs associated with the replacement of the company’s previous revolving credit facility,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For the second quarter of 2024:</w:t>
      </w:r>
    </w:p>
    <w:p>
      <w:pPr>
        <w:spacing w:after="0" w:line="225" w:lineRule="exact"/>
        <w:rPr>
          <w:sz w:val="20"/>
          <w:szCs w:val="20"/>
          <w:color w:val="auto"/>
        </w:rPr>
      </w:pPr>
    </w:p>
    <w:p>
      <w:pPr>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pre-tax ($0.1 million after-tax) expense in connection with the purchase accounting fair value adjustment of inventory from acquired businesses, included in cost of goods sold.</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pre-tax ($0.7 million after-tax) expense in connection with an acquisition and formation of joint ventures, included in operating expenses.</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pre-tax ($5.0 million after-tax) expense in connection with the change in valuation of a contingent consideration in connection with the acquisition of Almost Famous.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Madden,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Corporate Development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Danielle McCoy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718-308-2611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InvestorRelations@stevemadden.com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2025-07-30T06:07:28Z</dcterms:created>
  <dcterms:modified xsi:type="dcterms:W3CDTF">2025-07-30T06:07:28Z</dcterms:modified>
</cp:coreProperties>
</file>