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211"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Date of Report: March 30, 2020</w:t>
      </w:r>
    </w:p>
    <w:p>
      <w:pPr>
        <w:spacing w:after="0" w:line="23"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(Date of earliest event reported)</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STEVEN MADDEN, LTD.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140" w:type="dxa"/>
            <w:vAlign w:val="bottom"/>
          </w:tcPr>
          <w:p>
            <w:pPr>
              <w:jc w:val="center"/>
              <w:ind w:left="390"/>
              <w:spacing w:after="0"/>
              <w:rPr>
                <w:sz w:val="20"/>
                <w:szCs w:val="20"/>
                <w:color w:val="auto"/>
              </w:rPr>
            </w:pPr>
            <w:r>
              <w:rPr>
                <w:rFonts w:ascii="Arial" w:cs="Arial" w:eastAsia="Arial" w:hAnsi="Arial"/>
                <w:sz w:val="18"/>
                <w:szCs w:val="18"/>
                <w:color w:val="auto"/>
                <w:w w:val="92"/>
              </w:rPr>
              <w:t>Delaware</w:t>
            </w:r>
          </w:p>
        </w:tc>
        <w:tc>
          <w:tcPr>
            <w:tcW w:w="3560" w:type="dxa"/>
            <w:vAlign w:val="bottom"/>
            <w:gridSpan w:val="4"/>
          </w:tcPr>
          <w:p>
            <w:pPr>
              <w:jc w:val="center"/>
              <w:ind w:left="1330"/>
              <w:spacing w:after="0"/>
              <w:rPr>
                <w:sz w:val="20"/>
                <w:szCs w:val="20"/>
                <w:color w:val="auto"/>
              </w:rPr>
            </w:pPr>
            <w:r>
              <w:rPr>
                <w:rFonts w:ascii="Arial" w:cs="Arial" w:eastAsia="Arial" w:hAnsi="Arial"/>
                <w:sz w:val="18"/>
                <w:szCs w:val="18"/>
                <w:color w:val="auto"/>
                <w:w w:val="90"/>
              </w:rPr>
              <w:t>000-23702</w:t>
            </w:r>
          </w:p>
        </w:tc>
        <w:tc>
          <w:tcPr>
            <w:tcW w:w="4540" w:type="dxa"/>
            <w:vAlign w:val="bottom"/>
            <w:gridSpan w:val="4"/>
          </w:tcPr>
          <w:p>
            <w:pPr>
              <w:jc w:val="center"/>
              <w:ind w:left="850"/>
              <w:spacing w:after="0"/>
              <w:rPr>
                <w:sz w:val="20"/>
                <w:szCs w:val="20"/>
                <w:color w:val="auto"/>
              </w:rPr>
            </w:pPr>
            <w:r>
              <w:rPr>
                <w:rFonts w:ascii="Arial" w:cs="Arial" w:eastAsia="Arial" w:hAnsi="Arial"/>
                <w:sz w:val="18"/>
                <w:szCs w:val="18"/>
                <w:color w:val="auto"/>
                <w:w w:val="91"/>
              </w:rPr>
              <w:t>13-3588231</w:t>
            </w:r>
          </w:p>
        </w:tc>
      </w:tr>
      <w:tr>
        <w:trPr>
          <w:trHeight w:val="202"/>
        </w:trPr>
        <w:tc>
          <w:tcPr>
            <w:tcW w:w="3140" w:type="dxa"/>
            <w:vAlign w:val="bottom"/>
            <w:tcBorders>
              <w:top w:val="single" w:sz="8" w:color="auto"/>
            </w:tcBorders>
          </w:tcPr>
          <w:p>
            <w:pPr>
              <w:ind w:left="820"/>
              <w:spacing w:after="0" w:line="201" w:lineRule="exact"/>
              <w:rPr>
                <w:sz w:val="20"/>
                <w:szCs w:val="20"/>
                <w:color w:val="auto"/>
              </w:rPr>
            </w:pPr>
            <w:r>
              <w:rPr>
                <w:rFonts w:ascii="Arial" w:cs="Arial" w:eastAsia="Arial" w:hAnsi="Arial"/>
                <w:sz w:val="18"/>
                <w:szCs w:val="18"/>
                <w:color w:val="auto"/>
              </w:rPr>
              <w:t>(State or Other Jurisdiction</w:t>
            </w:r>
          </w:p>
        </w:tc>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tcBorders>
              <w:top w:val="single" w:sz="8" w:color="auto"/>
            </w:tcBorders>
          </w:tcPr>
          <w:p>
            <w:pPr>
              <w:jc w:val="center"/>
              <w:ind w:left="650"/>
              <w:spacing w:after="0" w:line="201" w:lineRule="exact"/>
              <w:rPr>
                <w:sz w:val="20"/>
                <w:szCs w:val="20"/>
                <w:color w:val="auto"/>
              </w:rPr>
            </w:pPr>
            <w:r>
              <w:rPr>
                <w:rFonts w:ascii="Arial" w:cs="Arial" w:eastAsia="Arial" w:hAnsi="Arial"/>
                <w:sz w:val="18"/>
                <w:szCs w:val="18"/>
                <w:color w:val="auto"/>
                <w:w w:val="93"/>
              </w:rPr>
              <w:t>(Commission File Number)</w:t>
            </w: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40" w:type="dxa"/>
            <w:vAlign w:val="bottom"/>
          </w:tcPr>
          <w:p>
            <w:pPr>
              <w:jc w:val="center"/>
              <w:ind w:left="390"/>
              <w:spacing w:after="0"/>
              <w:rPr>
                <w:sz w:val="20"/>
                <w:szCs w:val="20"/>
                <w:color w:val="auto"/>
              </w:rPr>
            </w:pPr>
            <w:r>
              <w:rPr>
                <w:rFonts w:ascii="Arial" w:cs="Arial" w:eastAsia="Arial" w:hAnsi="Arial"/>
                <w:sz w:val="18"/>
                <w:szCs w:val="18"/>
                <w:color w:val="auto"/>
                <w:w w:val="93"/>
              </w:rPr>
              <w:t>of Incorporation)</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92"/>
        </w:trPr>
        <w:tc>
          <w:tcPr>
            <w:tcW w:w="3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20" w:type="dxa"/>
            <w:vAlign w:val="bottom"/>
            <w:gridSpan w:val="7"/>
          </w:tcPr>
          <w:p>
            <w:pPr>
              <w:jc w:val="center"/>
              <w:ind w:right="3430"/>
              <w:spacing w:after="0"/>
              <w:rPr>
                <w:sz w:val="20"/>
                <w:szCs w:val="20"/>
                <w:color w:val="auto"/>
              </w:rPr>
            </w:pPr>
            <w:r>
              <w:rPr>
                <w:rFonts w:ascii="Arial" w:cs="Arial" w:eastAsia="Arial" w:hAnsi="Arial"/>
                <w:sz w:val="18"/>
                <w:szCs w:val="18"/>
                <w:color w:val="auto"/>
                <w:w w:val="91"/>
              </w:rPr>
              <w:t>52-16 Barnett Avenue, Long Island City, New York 11104</w:t>
            </w:r>
          </w:p>
        </w:tc>
      </w:tr>
      <w:tr>
        <w:trPr>
          <w:trHeight w:val="237"/>
        </w:trPr>
        <w:tc>
          <w:tcPr>
            <w:tcW w:w="3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w w:val="94"/>
              </w:rPr>
              <w:t>(Address of Principal Executive Offices)</w:t>
            </w:r>
          </w:p>
        </w:tc>
        <w:tc>
          <w:tcPr>
            <w:tcW w:w="102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(Zip Code)</w:t>
            </w:r>
          </w:p>
        </w:tc>
        <w:tc>
          <w:tcPr>
            <w:tcW w:w="3520" w:type="dxa"/>
            <w:vAlign w:val="bottom"/>
          </w:tcPr>
          <w:p>
            <w:pPr>
              <w:spacing w:after="0"/>
              <w:rPr>
                <w:sz w:val="20"/>
                <w:szCs w:val="20"/>
                <w:color w:val="auto"/>
              </w:rPr>
            </w:pPr>
          </w:p>
        </w:tc>
      </w:tr>
    </w:tbl>
    <w:p>
      <w:pPr>
        <w:spacing w:after="0" w:line="202" w:lineRule="exact"/>
        <w:rPr>
          <w:sz w:val="24"/>
          <w:szCs w:val="24"/>
          <w:color w:val="auto"/>
        </w:rPr>
      </w:pPr>
    </w:p>
    <w:p>
      <w:pPr>
        <w:ind w:left="3160"/>
        <w:spacing w:after="0"/>
        <w:rPr>
          <w:sz w:val="20"/>
          <w:szCs w:val="20"/>
          <w:color w:val="auto"/>
        </w:rPr>
      </w:pPr>
      <w:r>
        <w:rPr>
          <w:rFonts w:ascii="Arial" w:cs="Arial" w:eastAsia="Arial" w:hAnsi="Arial"/>
          <w:sz w:val="18"/>
          <w:szCs w:val="18"/>
          <w:u w:val="single" w:color="auto"/>
          <w:color w:val="auto"/>
        </w:rPr>
        <w:t>Registrant’s telephone number, including area code: (718) 446-1800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9"/>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SHOO</w:t>
            </w:r>
          </w:p>
        </w:tc>
        <w:tc>
          <w:tcPr>
            <w:tcW w:w="4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30, 2020, Steven Madden, Ltd. (“we,” “us,” “our,” or the “Company”) announced the following precautionary measures to maintain ample liquidity and financial flexibility in light of the impact of the COVID-19 pandemic:</w:t>
      </w:r>
    </w:p>
    <w:p>
      <w:pPr>
        <w:spacing w:after="0" w:line="170" w:lineRule="exact"/>
        <w:rPr>
          <w:sz w:val="20"/>
          <w:szCs w:val="20"/>
          <w:color w:val="auto"/>
        </w:rPr>
      </w:pPr>
    </w:p>
    <w:p>
      <w:pPr>
        <w:ind w:left="1140" w:hanging="113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suspended our quarterly cash dividend.</w:t>
      </w:r>
    </w:p>
    <w:p>
      <w:pPr>
        <w:spacing w:after="0" w:line="225" w:lineRule="exact"/>
        <w:rPr>
          <w:rFonts w:ascii="Arial" w:cs="Arial" w:eastAsia="Arial" w:hAnsi="Arial"/>
          <w:sz w:val="18"/>
          <w:szCs w:val="18"/>
          <w:color w:val="auto"/>
        </w:rPr>
      </w:pPr>
    </w:p>
    <w:p>
      <w:pPr>
        <w:ind w:left="1140" w:hanging="113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suspended stock repurchases.</w:t>
      </w:r>
    </w:p>
    <w:p>
      <w:pPr>
        <w:spacing w:after="0" w:line="225" w:lineRule="exact"/>
        <w:rPr>
          <w:rFonts w:ascii="Arial" w:cs="Arial" w:eastAsia="Arial" w:hAnsi="Arial"/>
          <w:sz w:val="18"/>
          <w:szCs w:val="18"/>
          <w:color w:val="auto"/>
        </w:rPr>
      </w:pPr>
    </w:p>
    <w:p>
      <w:pPr>
        <w:ind w:left="1140" w:hanging="113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significantly scaled back non-essential operating expenses, capital expenditures, and planned inventory receipts.</w:t>
      </w:r>
    </w:p>
    <w:p>
      <w:pPr>
        <w:spacing w:after="0" w:line="225" w:lineRule="exact"/>
        <w:rPr>
          <w:rFonts w:ascii="Arial" w:cs="Arial" w:eastAsia="Arial" w:hAnsi="Arial"/>
          <w:sz w:val="18"/>
          <w:szCs w:val="18"/>
          <w:color w:val="auto"/>
        </w:rPr>
      </w:pPr>
    </w:p>
    <w:p>
      <w:pPr>
        <w:ind w:left="1140" w:hanging="113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drawn $30 million from our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also announced the following actions effective April 1, 2020:</w:t>
      </w:r>
    </w:p>
    <w:p>
      <w:pPr>
        <w:spacing w:after="0" w:line="225" w:lineRule="exact"/>
        <w:rPr>
          <w:sz w:val="20"/>
          <w:szCs w:val="20"/>
          <w:color w:val="auto"/>
        </w:rPr>
      </w:pPr>
    </w:p>
    <w:p>
      <w:pPr>
        <w:ind w:left="1140" w:right="400" w:hanging="1132"/>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furlough a significant number of our employees. Employees with medical benefits will continue to receive those benefits at no personal cost.</w:t>
      </w:r>
    </w:p>
    <w:p>
      <w:pPr>
        <w:spacing w:after="0" w:line="170" w:lineRule="exact"/>
        <w:rPr>
          <w:rFonts w:ascii="Arial" w:cs="Arial" w:eastAsia="Arial" w:hAnsi="Arial"/>
          <w:sz w:val="18"/>
          <w:szCs w:val="18"/>
          <w:color w:val="auto"/>
        </w:rPr>
      </w:pPr>
    </w:p>
    <w:p>
      <w:pPr>
        <w:ind w:left="1140" w:right="60" w:hanging="1132"/>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Steve Madden, our founder and Creative and Design Chief, and Edward Rosenfeld, our Chairman and Chief Executive Officer, will receive no salary.</w:t>
      </w:r>
    </w:p>
    <w:p>
      <w:pPr>
        <w:spacing w:after="0" w:line="170" w:lineRule="exact"/>
        <w:rPr>
          <w:rFonts w:ascii="Arial" w:cs="Arial" w:eastAsia="Arial" w:hAnsi="Arial"/>
          <w:sz w:val="18"/>
          <w:szCs w:val="18"/>
          <w:color w:val="auto"/>
        </w:rPr>
      </w:pPr>
    </w:p>
    <w:p>
      <w:pPr>
        <w:ind w:left="1140" w:hanging="1132"/>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salaries of our President, Chief Financial Officer, Chief Operating Officer, and Chief Merchandising Officer will be reduced by 30%.</w:t>
      </w:r>
    </w:p>
    <w:p>
      <w:pPr>
        <w:spacing w:after="0" w:line="248" w:lineRule="exact"/>
        <w:rPr>
          <w:rFonts w:ascii="Arial" w:cs="Arial" w:eastAsia="Arial" w:hAnsi="Arial"/>
          <w:sz w:val="16"/>
          <w:szCs w:val="16"/>
          <w:color w:val="auto"/>
        </w:rPr>
      </w:pPr>
    </w:p>
    <w:p>
      <w:pPr>
        <w:ind w:left="1140" w:hanging="1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salaries of all other employees earning more than $100,000 per year will be reduced by graduated amounts.</w:t>
      </w:r>
    </w:p>
    <w:p>
      <w:pPr>
        <w:spacing w:after="0" w:line="225" w:lineRule="exact"/>
        <w:rPr>
          <w:rFonts w:ascii="Arial" w:cs="Arial" w:eastAsia="Arial" w:hAnsi="Arial"/>
          <w:sz w:val="18"/>
          <w:szCs w:val="18"/>
          <w:color w:val="auto"/>
        </w:rPr>
      </w:pPr>
    </w:p>
    <w:p>
      <w:pPr>
        <w:ind w:left="1140" w:hanging="1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Board of Directors have agreed to suspend all of their cash compensation.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furnished in this Item 7.01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regardless of any general incorporation language in such filing, except as shall be expressly set forth by specific reference in such filing.</w:t>
      </w:r>
    </w:p>
    <w:p>
      <w:pPr>
        <w:spacing w:after="0" w:line="1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1140" w:hanging="1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94"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29"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30, 2020</w:t>
      </w:r>
    </w:p>
    <w:p>
      <w:pPr>
        <w:spacing w:after="0" w:line="221"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STEVEN MADDEN, LTD.</w:t>
      </w:r>
    </w:p>
    <w:p>
      <w:pPr>
        <w:spacing w:after="0" w:line="229" w:lineRule="exact"/>
        <w:rPr>
          <w:sz w:val="20"/>
          <w:szCs w:val="20"/>
          <w:color w:val="auto"/>
        </w:rPr>
      </w:pPr>
    </w:p>
    <w:p>
      <w:pPr>
        <w:ind w:left="6980"/>
        <w:spacing w:after="0"/>
        <w:tabs>
          <w:tab w:leader="none" w:pos="7420" w:val="left"/>
        </w:tabs>
        <w:rPr>
          <w:sz w:val="20"/>
          <w:szCs w:val="20"/>
          <w:color w:val="auto"/>
        </w:rPr>
      </w:pPr>
      <w:r>
        <w:rPr>
          <w:rFonts w:ascii="Arial" w:cs="Arial" w:eastAsia="Arial" w:hAnsi="Arial"/>
          <w:sz w:val="18"/>
          <w:szCs w:val="18"/>
          <w:color w:val="auto"/>
        </w:rPr>
        <w:t>By:</w:t>
        <w:tab/>
        <w:t>/s/ Edward R. Rosenfeld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14605</wp:posOffset>
            </wp:positionV>
            <wp:extent cx="2417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Edward R. Rosenfeld</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sectPr>
      <w:pgSz w:w="11900" w:h="16838" w:orient="portrait"/>
      <w:cols w:equalWidth="0" w:num="1">
        <w:col w:w="11200"/>
      </w:cols>
      <w:pgMar w:left="320" w:top="66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2020-03-30T08:34:17Z</dcterms:created>
  <dcterms:modified xsi:type="dcterms:W3CDTF">2020-03-30T08:34:17Z</dcterms:modified>
</cp:coreProperties>
</file>